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5FFCE3E3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 </w:t>
      </w:r>
      <w:r>
        <w:rPr>
          <w:rFonts w:eastAsia="Calibri"/>
          <w:spacing w:val="11"/>
          <w:sz w:val="24"/>
          <w:szCs w:val="24"/>
          <w:lang w:bidi="en-US"/>
        </w:rPr>
        <w:t xml:space="preserve"> </w:t>
      </w:r>
      <w:r w:rsidR="00631464">
        <w:rPr>
          <w:rFonts w:eastAsia="Calibri"/>
          <w:sz w:val="24"/>
          <w:szCs w:val="24"/>
          <w:lang w:bidi="en-US"/>
        </w:rPr>
        <w:t xml:space="preserve">Management – Marketing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5675B1" w:rsidRPr="005675B1">
        <w:rPr>
          <w:rFonts w:eastAsia="Calibri"/>
          <w:sz w:val="24"/>
          <w:szCs w:val="24"/>
          <w:lang w:bidi="en-US"/>
        </w:rPr>
        <w:t xml:space="preserve">de </w:t>
      </w:r>
      <w:r w:rsidR="00631464">
        <w:rPr>
          <w:rFonts w:eastAsia="Calibri"/>
          <w:sz w:val="24"/>
          <w:szCs w:val="24"/>
          <w:lang w:bidi="en-US"/>
        </w:rPr>
        <w:t xml:space="preserve">Management – Marketing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50C67003" w14:textId="67C3FBBA" w:rsidR="00D1540D" w:rsidRDefault="009E2C14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b/>
          <w:bCs/>
          <w:sz w:val="24"/>
          <w:szCs w:val="24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D1540D" w:rsidRPr="00D1540D">
        <w:rPr>
          <w:rFonts w:eastAsia="Calibri"/>
          <w:sz w:val="24"/>
          <w:szCs w:val="24"/>
          <w:lang w:bidi="en-US"/>
        </w:rPr>
        <w:t>postul de</w:t>
      </w:r>
    </w:p>
    <w:p w14:paraId="4A068623" w14:textId="28293AED" w:rsidR="009E2C14" w:rsidRDefault="00D1540D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sz w:val="24"/>
          <w:szCs w:val="22"/>
          <w:lang w:bidi="en-US"/>
        </w:rPr>
      </w:pPr>
      <w:r>
        <w:rPr>
          <w:rFonts w:eastAsia="Calibri"/>
          <w:b/>
          <w:bCs/>
          <w:sz w:val="24"/>
          <w:szCs w:val="24"/>
          <w:lang w:bidi="en-US"/>
        </w:rPr>
        <w:t>Director al Departamentului Management - Marketing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EB69D1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16AD" w14:textId="77777777" w:rsidR="00EB69D1" w:rsidRDefault="00EB69D1" w:rsidP="00DC4593">
      <w:r>
        <w:separator/>
      </w:r>
    </w:p>
  </w:endnote>
  <w:endnote w:type="continuationSeparator" w:id="0">
    <w:p w14:paraId="673D17C9" w14:textId="77777777" w:rsidR="00EB69D1" w:rsidRDefault="00EB69D1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9029" w14:textId="77777777" w:rsidR="00EB69D1" w:rsidRDefault="00EB69D1" w:rsidP="00DC4593">
      <w:r>
        <w:separator/>
      </w:r>
    </w:p>
  </w:footnote>
  <w:footnote w:type="continuationSeparator" w:id="0">
    <w:p w14:paraId="07FB5D49" w14:textId="77777777" w:rsidR="00EB69D1" w:rsidRDefault="00EB69D1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82D52"/>
    <w:rsid w:val="000D595D"/>
    <w:rsid w:val="00195FFC"/>
    <w:rsid w:val="004F2DE4"/>
    <w:rsid w:val="005675B1"/>
    <w:rsid w:val="0062049C"/>
    <w:rsid w:val="00631464"/>
    <w:rsid w:val="006E6288"/>
    <w:rsid w:val="009E2C14"/>
    <w:rsid w:val="00AC4177"/>
    <w:rsid w:val="00AF1841"/>
    <w:rsid w:val="00B80D4D"/>
    <w:rsid w:val="00D1540D"/>
    <w:rsid w:val="00DC4593"/>
    <w:rsid w:val="00E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6</cp:revision>
  <dcterms:created xsi:type="dcterms:W3CDTF">2024-01-16T13:40:00Z</dcterms:created>
  <dcterms:modified xsi:type="dcterms:W3CDTF">2024-01-17T11:53:00Z</dcterms:modified>
</cp:coreProperties>
</file>